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  <w:rtl w:val="0"/>
        </w:rPr>
        <w:t xml:space="preserve">Тезисы ИВДИВО.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Лёвина Юлия Денисовна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Аватаресса ИВО Метагалактического синтезкосмического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Высшего Аттестационного Совета ИВО ИВАС Юсефа,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ИВДИВО– Секретарь изначального космического союза молодёжи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аттестационного синтеза ИВАС Кут Хуми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подразделения ИВДИВО Московия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lia2211@mail.ru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Изначальный Космический Союз Молодёжи.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Молодёжный Огонь в жизни.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Молодёжный Огонь — как магнит для Частностей.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Когда Часть выражает Частность — она живёт. Молодёжный Огонь — это процесс сверхпассионарности, выработки Частностей, жизнеспособности всех Частей. В этой активности, в этом состоянии рождается готовность направить эту сверхпассионарность, жизнеспособность на какое–то командное дело.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То есть в среде Молодёжного Огня, Изначального Космического Союза Молодёжи, каждая Часть начинает жить и вырабатывать Синтез Жизни, а уже в Синтезе Синтезов Жизни всех Частей рождается и запахтывается Молодёжный Огонь.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Чаще всего, такое количество Синтеза, именно в Синтезе всех Частей, хорошо вырабатывается на высшую цель — какое–то командное дело, командное служение. Поэтому Изначальный Космический Союз Молодёжи — это, прежде всего, про командность, командные цели.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Этот Синтез и Огонь — как потенциал, нарабатываемый и дающийся команде для масштабного дела, организованного, порученного команде. Через этот процесс идёт избыточный рост Частей и потенциалов Молодёжи в Изначальном Космической Союзе Молодёжи — через Молодёжный Огонь и командное дело, где каждый важен.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Это то, что необходимо. Ведь как раз в 14 лет, когда ребенок выходит из поля родителей, его Части начинают расти самостоятельно и Молодёжный Огонь, фиксация Изначального Космического Союза Молодёжи, усиляет рост Частей, наделяя их Огнём и избыточным Синтезом.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Молодёжный Огонь — как активатор жизни, избыточности творения и сверхпассионарности Частей, где есмь принцип: Огонь – Материя.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Когда, в этой огненной насыщенности, хочется привносить и сверхпассионарить в материи — реализовываться. Реализуясь, молодёжь преображает материю, привнося Огнеобразы, Частности, космичность — новизну видов космоса ИВДИВО на физику, буквально преображая материю собой.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Когда сделал практику, вдохновился, вошёл в высокое огненное состояние, этим заполнился — сделал шаг на физике, а он уже совершенно другой — синтезкосмический например, с новой насыщенностью, с новым качеством движения…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Командой идёт усиление преображения, развёртки Молодёжного Огня Изначально Вышестоящего Отца. Специфика Молодёжного Огня и Молодёжи в том, что она привносит новизну, являя собой космичность, применяет, живёт и действует на физике, привнося новое из Огня в материю, привнося Огонеобразы космоса собой.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Изначальный Космический Союз Молодёжи 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Союз Молодёжи из разных видов космоса ИВДИВО, где каждый может делится опытом, Огнеобразами, насыщенностью разных космосов.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Для нас, наш космос, наша физика — материя. Для других — наш космос, наша физика — Огонь. Принцип ОМ.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color w:val="4a86e8"/>
          <w:rtl w:val="0"/>
        </w:rPr>
        <w:t xml:space="preserve">Сдано ИВАС Кут Хуми 02.07.2025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080" w:top="108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Times New Roman" w:cs="Times New Roman" w:eastAsia="Times New Roman" w:hAnsi="Times New Roman"/>
      <w:outline w:val="0"/>
      <w:color w:val="1155cc"/>
      <w:sz w:val="24"/>
      <w:szCs w:val="24"/>
      <w:u w:color="1155cc" w:val="single"/>
      <w14:textFill>
        <w14:solidFill>
          <w14:srgbClr w14:val="1155CC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a2211@mail.r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XIjoVcXzZ0XAx/cdQ+fvCoCDMw==">CgMxLjA4AHIhMWJQYlZUZWRET3RKU3pkR1hWa0NHUzdrMlhTSl9DN0lE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